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drawing>
          <wp:inline xmlns:a="http://schemas.openxmlformats.org/drawingml/2006/main" xmlns:pic="http://schemas.openxmlformats.org/drawingml/2006/picture">
            <wp:extent cx="1536192" cy="713232"/>
            <wp:docPr id="1" name="Picture 1"/>
            <wp:cNvGraphicFramePr>
              <a:graphicFrameLocks noChangeAspect="1"/>
            </wp:cNvGraphicFramePr>
            <a:graphic>
              <a:graphicData uri="http://schemas.openxmlformats.org/drawingml/2006/picture">
                <pic:pic>
                  <pic:nvPicPr>
                    <pic:cNvPr id="0" name="children_of_persia_logo_clean.png"/>
                    <pic:cNvPicPr/>
                  </pic:nvPicPr>
                  <pic:blipFill>
                    <a:blip r:embed="rId9"/>
                    <a:stretch>
                      <a:fillRect/>
                    </a:stretch>
                  </pic:blipFill>
                  <pic:spPr>
                    <a:xfrm>
                      <a:off x="0" y="0"/>
                      <a:ext cx="1536192" cy="713232"/>
                    </a:xfrm>
                    <a:prstGeom prst="rect"/>
                  </pic:spPr>
                </pic:pic>
              </a:graphicData>
            </a:graphic>
          </wp:inline>
        </w:drawing>
      </w:r>
    </w:p>
    <w:p>
      <w:pPr>
        <w:spacing w:after="60"/>
        <w:jc w:val="center"/>
      </w:pPr>
      <w:r>
        <w:rPr>
          <w:rFonts w:ascii="Arial" w:hAnsi="Arial"/>
          <w:b/>
          <w:sz w:val="28"/>
        </w:rPr>
        <w:t>CHILDREN OF PERSIA, INC.</w:t>
      </w:r>
    </w:p>
    <w:p>
      <w:pPr>
        <w:spacing w:after="60"/>
        <w:jc w:val="center"/>
      </w:pPr>
      <w:r>
        <w:rPr>
          <w:rFonts w:ascii="Arial" w:hAnsi="Arial"/>
          <w:sz w:val="17"/>
        </w:rPr>
        <w:t>P.O. Box 2602 • Montgomery Village, MD 20886</w:t>
        <w:br/>
        <w:t>info@childrenofpersia.org • (301) 315-0750</w:t>
        <w:br/>
        <w:t>EIN: 52-2236795</w:t>
      </w:r>
    </w:p>
    <w:p>
      <w:pPr>
        <w:spacing w:after="60" w:line="240" w:lineRule="auto"/>
      </w:pPr>
      <w:r>
        <w:rPr>
          <w:rFonts w:ascii="Arial" w:hAnsi="Arial"/>
          <w:b w:val="0"/>
          <w:sz w:val="20"/>
        </w:rPr>
        <w:t>Reporting period: June–August 2026</w:t>
      </w:r>
    </w:p>
    <w:p>
      <w:pPr>
        <w:spacing w:after="60"/>
      </w:pPr>
      <w:r>
        <w:rPr>
          <w:rFonts w:ascii="Arial" w:hAnsi="Arial"/>
          <w:b/>
          <w:sz w:val="20"/>
        </w:rPr>
        <w:t>To:</w:t>
        <w:br/>
      </w:r>
      <w:r>
        <w:rPr>
          <w:rFonts w:ascii="Arial" w:hAnsi="Arial"/>
          <w:b/>
          <w:sz w:val="20"/>
        </w:rPr>
        <w:t>YASU</w:t>
        <w:br/>
      </w:r>
      <w:r>
        <w:rPr>
          <w:rFonts w:ascii="Arial" w:hAnsi="Arial"/>
          <w:b w:val="0"/>
          <w:sz w:val="20"/>
        </w:rPr>
        <w:t>Attn: Corporate Partnerships / Community Impact</w:t>
        <w:br/>
      </w:r>
      <w:r>
        <w:rPr>
          <w:rFonts w:ascii="Arial" w:hAnsi="Arial"/>
          <w:b w:val="0"/>
          <w:sz w:val="20"/>
        </w:rPr>
        <w:t>11790 Sunrise Valley Drive, Suite 304</w:t>
        <w:br/>
      </w:r>
      <w:r>
        <w:rPr>
          <w:rFonts w:ascii="Arial" w:hAnsi="Arial"/>
          <w:b w:val="0"/>
          <w:sz w:val="20"/>
        </w:rPr>
        <w:t>Reston, VA 20191</w:t>
      </w:r>
    </w:p>
    <w:p>
      <w:pPr>
        <w:spacing w:after="60" w:line="240" w:lineRule="auto"/>
        <w:jc w:val="center"/>
      </w:pPr>
      <w:r>
        <w:rPr>
          <w:rFonts w:ascii="Arial" w:hAnsi="Arial"/>
          <w:b/>
          <w:sz w:val="23"/>
        </w:rPr>
        <w:t>SUBJECT: Donation Confirmation &amp; Campaign Reconciliation</w:t>
      </w:r>
    </w:p>
    <w:p>
      <w:pPr>
        <w:spacing w:after="60" w:line="240" w:lineRule="auto"/>
      </w:pPr>
      <w:r>
        <w:rPr>
          <w:rFonts w:ascii="Arial" w:hAnsi="Arial"/>
          <w:b w:val="0"/>
          <w:sz w:val="20"/>
        </w:rPr>
        <w:t>Dear YASU Team,</w:t>
      </w:r>
    </w:p>
    <w:p>
      <w:pPr>
        <w:spacing w:after="60" w:line="240" w:lineRule="auto"/>
      </w:pPr>
      <w:r>
        <w:t>On behalf of Children of Persia, Inc., we acknowledge and confirm YASU's charitable contribution under the ongoing product-linked campaign launched in June 2026. This confirmation covers the June–August 2026 reporting period; the campaign continues beyond that period.</w:t>
      </w:r>
    </w:p>
    <w:p>
      <w:pPr>
        <w:spacing w:after="60" w:line="240" w:lineRule="auto"/>
      </w:pPr>
      <w:r>
        <w:rPr>
          <w:rFonts w:ascii="Arial" w:hAnsi="Arial"/>
          <w:b w:val="0"/>
          <w:sz w:val="19"/>
        </w:rPr>
        <w:t>This letter serves as official verification of payment fulfillment as outlined under the Commercial Co-Venture (CCV) agreement executed between Children of Persia, Inc. and YASU on June 8, 2026.</w:t>
      </w:r>
    </w:p>
    <w:tbl>
      <w:tblPr>
        <w:tblW w:type="auto" w:w="0"/>
        <w:tblLayout w:type="fixed"/>
        <w:tblLook w:firstColumn="1" w:firstRow="1" w:lastColumn="0" w:lastRow="0" w:noHBand="0" w:noVBand="1" w:val="04A0"/>
      </w:tblPr>
      <w:tblGrid>
        <w:gridCol w:w="5040"/>
        <w:gridCol w:w="5040"/>
      </w:tblGrid>
      <w:tr>
        <w:tc>
          <w:tcPr>
            <w:tcW w:type="dxa" w:w="2952"/>
            <w:shd w:fill="F1F1F1"/>
          </w:tcPr>
          <w:p>
            <w:pPr>
              <w:spacing w:after="20"/>
            </w:pPr>
            <w:r>
              <w:rPr>
                <w:rFonts w:ascii="Arial" w:hAnsi="Arial"/>
                <w:b/>
                <w:sz w:val="17"/>
              </w:rPr>
              <w:t>Campaign Name</w:t>
            </w:r>
          </w:p>
        </w:tc>
        <w:tc>
          <w:tcPr>
            <w:tcW w:type="dxa" w:w="7056"/>
            <w:shd w:fill="FFFFFF"/>
          </w:tcPr>
          <w:p>
            <w:pPr>
              <w:spacing w:after="20"/>
            </w:pPr>
            <w:r>
              <w:rPr>
                <w:rFonts w:ascii="Arial" w:hAnsi="Arial"/>
                <w:b w:val="0"/>
                <w:sz w:val="17"/>
              </w:rPr>
              <w:t>YASU × Children of Persia Initiative</w:t>
            </w:r>
          </w:p>
        </w:tc>
      </w:tr>
      <w:tr>
        <w:tc>
          <w:tcPr>
            <w:tcW w:type="dxa" w:w="2952"/>
            <w:shd w:fill="F1F1F1"/>
          </w:tcPr>
          <w:p>
            <w:pPr>
              <w:spacing w:after="20"/>
            </w:pPr>
            <w:r>
              <w:rPr>
                <w:rFonts w:ascii="Arial" w:hAnsi="Arial"/>
                <w:b/>
                <w:sz w:val="17"/>
              </w:rPr>
              <w:t>Reporting Period</w:t>
            </w:r>
          </w:p>
        </w:tc>
        <w:tc>
          <w:tcPr>
            <w:tcW w:type="dxa" w:w="7056"/>
            <w:shd w:fill="FFFFFF"/>
          </w:tcPr>
          <w:p>
            <w:pPr>
              <w:spacing w:after="20"/>
            </w:pPr>
            <w:r>
              <w:rPr>
                <w:rFonts w:ascii="Arial" w:hAnsi="Arial"/>
                <w:b w:val="0"/>
                <w:sz w:val="17"/>
              </w:rPr>
              <w:t>June–August 2026; campaign ongoing</w:t>
            </w:r>
          </w:p>
        </w:tc>
      </w:tr>
      <w:tr>
        <w:tc>
          <w:tcPr>
            <w:tcW w:type="dxa" w:w="2952"/>
            <w:shd w:fill="F1F1F1"/>
          </w:tcPr>
          <w:p>
            <w:pPr>
              <w:spacing w:after="20"/>
            </w:pPr>
            <w:r>
              <w:rPr>
                <w:rFonts w:ascii="Arial" w:hAnsi="Arial"/>
                <w:b/>
                <w:sz w:val="17"/>
              </w:rPr>
              <w:t>Donation Commitment</w:t>
            </w:r>
          </w:p>
        </w:tc>
        <w:tc>
          <w:tcPr>
            <w:tcW w:type="dxa" w:w="7056"/>
            <w:shd w:fill="FFFFFF"/>
          </w:tcPr>
          <w:p>
            <w:pPr>
              <w:spacing w:after="20"/>
            </w:pPr>
            <w:r>
              <w:rPr>
                <w:rFonts w:ascii="Arial" w:hAnsi="Arial"/>
                <w:b w:val="0"/>
                <w:sz w:val="17"/>
              </w:rPr>
              <w:t>40% of product revenue after discounts and refunds, excluding shipping and tax</w:t>
            </w:r>
          </w:p>
        </w:tc>
      </w:tr>
      <w:tr>
        <w:tc>
          <w:tcPr>
            <w:tcW w:type="dxa" w:w="2952"/>
            <w:shd w:fill="F1F1F1"/>
          </w:tcPr>
          <w:p>
            <w:pPr>
              <w:spacing w:after="20"/>
            </w:pPr>
            <w:r>
              <w:rPr>
                <w:rFonts w:ascii="Arial" w:hAnsi="Arial"/>
                <w:b/>
                <w:sz w:val="17"/>
              </w:rPr>
              <w:t>Total Audited Units Sold</w:t>
            </w:r>
          </w:p>
        </w:tc>
        <w:tc>
          <w:tcPr>
            <w:tcW w:type="dxa" w:w="7056"/>
            <w:shd w:fill="FFFFFF"/>
          </w:tcPr>
          <w:p>
            <w:pPr>
              <w:spacing w:after="20"/>
            </w:pPr>
            <w:r>
              <w:rPr>
                <w:rFonts w:ascii="Arial" w:hAnsi="Arial"/>
                <w:b w:val="0"/>
                <w:sz w:val="17"/>
              </w:rPr>
              <w:t>1,110 units</w:t>
            </w:r>
          </w:p>
        </w:tc>
      </w:tr>
      <w:tr>
        <w:tc>
          <w:tcPr>
            <w:tcW w:type="dxa" w:w="2952"/>
            <w:shd w:fill="F1F1F1"/>
          </w:tcPr>
          <w:p>
            <w:pPr>
              <w:spacing w:after="20"/>
            </w:pPr>
            <w:r>
              <w:rPr>
                <w:rFonts w:ascii="Arial" w:hAnsi="Arial"/>
                <w:b/>
                <w:sz w:val="17"/>
              </w:rPr>
              <w:t>Gross Donation Amount</w:t>
            </w:r>
          </w:p>
        </w:tc>
        <w:tc>
          <w:tcPr>
            <w:tcW w:type="dxa" w:w="7056"/>
            <w:shd w:fill="FFFFFF"/>
          </w:tcPr>
          <w:p>
            <w:pPr>
              <w:spacing w:after="20"/>
            </w:pPr>
            <w:r>
              <w:rPr>
                <w:rFonts w:ascii="Arial" w:hAnsi="Arial"/>
                <w:b w:val="0"/>
                <w:sz w:val="17"/>
              </w:rPr>
              <w:t>$16,650.00 USD</w:t>
            </w:r>
          </w:p>
        </w:tc>
      </w:tr>
      <w:tr>
        <w:tc>
          <w:tcPr>
            <w:tcW w:type="dxa" w:w="2952"/>
            <w:shd w:fill="F1F1F1"/>
          </w:tcPr>
          <w:p>
            <w:pPr>
              <w:spacing w:after="20"/>
            </w:pPr>
            <w:r>
              <w:rPr>
                <w:rFonts w:ascii="Arial" w:hAnsi="Arial"/>
                <w:b/>
                <w:sz w:val="17"/>
              </w:rPr>
              <w:t>Date Funds Received</w:t>
            </w:r>
          </w:p>
        </w:tc>
        <w:tc>
          <w:tcPr>
            <w:tcW w:type="dxa" w:w="7056"/>
            <w:shd w:fill="FFFFFF"/>
          </w:tcPr>
          <w:p>
            <w:pPr>
              <w:spacing w:after="20"/>
            </w:pPr>
            <w:r>
              <w:rPr>
                <w:rFonts w:ascii="Arial" w:hAnsi="Arial"/>
                <w:b w:val="0"/>
                <w:sz w:val="17"/>
              </w:rPr>
              <w:t>August 5, 2026</w:t>
            </w:r>
          </w:p>
        </w:tc>
      </w:tr>
    </w:tbl>
    <w:p>
      <w:pPr>
        <w:spacing w:after="60"/>
      </w:pPr>
    </w:p>
    <w:p>
      <w:pPr>
        <w:spacing w:after="60" w:line="240" w:lineRule="auto"/>
      </w:pPr>
      <w:r>
        <w:rPr>
          <w:rFonts w:ascii="Arial" w:hAnsi="Arial"/>
          <w:b w:val="0"/>
          <w:sz w:val="19"/>
        </w:rPr>
        <w:t>Children of Persia, Inc. confirms receipt of the above charitable contribution from YASU pursuant to the terms of the campaign and the applicable agreement between the parties.</w:t>
      </w:r>
    </w:p>
    <w:p>
      <w:pPr>
        <w:spacing w:after="60" w:line="240" w:lineRule="auto"/>
      </w:pPr>
      <w:r>
        <w:rPr>
          <w:rFonts w:ascii="Arial" w:hAnsi="Arial"/>
          <w:b w:val="0"/>
          <w:sz w:val="19"/>
        </w:rPr>
        <w:t>The contribution will support Children of Persia's charitable programs benefiting underprivileged children and their families through health, education, and social services. These programs include educational assistance, medical and health support, family and community relief, assistance to children in need, and disaster-relief initiatives.</w:t>
      </w:r>
    </w:p>
    <w:p>
      <w:pPr>
        <w:spacing w:after="60" w:line="240" w:lineRule="auto"/>
      </w:pPr>
      <w:r>
        <w:rPr>
          <w:rFonts w:ascii="Arial" w:hAnsi="Arial"/>
          <w:b w:val="0"/>
          <w:sz w:val="19"/>
        </w:rPr>
        <w:t>Children of Persia, Inc. appreciates YASU's participation as a corporate and brand partner and its commitment to using its commercial platform to generate meaningful charitable support for children and families in need.</w:t>
      </w:r>
    </w:p>
    <w:p>
      <w:pPr>
        <w:spacing w:after="60" w:line="240" w:lineRule="auto"/>
      </w:pPr>
      <w:r>
        <w:rPr>
          <w:rFonts w:ascii="Arial" w:hAnsi="Arial"/>
          <w:b w:val="0"/>
          <w:sz w:val="19"/>
        </w:rPr>
        <w:t>For purposes of campaign reconciliation, Children of Persia, Inc. confirms that the contribution stated above represents the amount received in connection with the qualifying campaign activity described in this letter. Supporting sales, campaign, and payment records may be maintained by the respective parties in accordance with the applicable campaign agreement and regulatory requirements.</w:t>
      </w:r>
    </w:p>
    <w:p>
      <w:pPr>
        <w:spacing w:after="60" w:line="240" w:lineRule="auto"/>
      </w:pPr>
      <w:r>
        <w:rPr>
          <w:rFonts w:ascii="Arial" w:hAnsi="Arial"/>
          <w:b w:val="0"/>
          <w:sz w:val="19"/>
        </w:rPr>
        <w:t>Where applicable, this document may be used as supporting documentation for the parties' campaign reconciliation and any required commercial co-venture or charitable solicitation reporting with relevant governmental authorities.</w:t>
      </w:r>
    </w:p>
    <w:p>
      <w:pPr>
        <w:spacing w:after="60" w:line="240" w:lineRule="auto"/>
      </w:pPr>
      <w:r>
        <w:rPr>
          <w:rFonts w:ascii="Arial" w:hAnsi="Arial"/>
          <w:b w:val="0"/>
          <w:sz w:val="19"/>
        </w:rPr>
        <w:t>Children of Persia, Inc. is a U.S. 501(c)(3) charitable organization dedicated to improving the well-being of children and families in need through health, education, and social-service initiatives. The organization operates through a volunteer-supported model and has undertaken humanitarian, educational, medical, and disaster-relief projects.</w:t>
      </w:r>
    </w:p>
    <w:p>
      <w:pPr>
        <w:spacing w:after="60" w:line="240" w:lineRule="auto"/>
      </w:pPr>
      <w:r>
        <w:rPr>
          <w:rFonts w:ascii="Arial" w:hAnsi="Arial"/>
          <w:b w:val="0"/>
          <w:sz w:val="19"/>
        </w:rPr>
        <w:t>We sincerely appreciate YASU's partnership and support of the mission of Children of Persia.</w:t>
      </w:r>
    </w:p>
    <w:p>
      <w:pPr>
        <w:keepNext/>
        <w:spacing w:after="60" w:line="240" w:lineRule="auto"/>
      </w:pPr>
      <w:r>
        <w:rPr>
          <w:rFonts w:ascii="Arial" w:hAnsi="Arial"/>
          <w:b w:val="0"/>
          <w:sz w:val="19"/>
        </w:rPr>
        <w:t>Sincerely,</w:t>
      </w:r>
    </w:p>
    <w:p>
      <w:pPr>
        <w:keepNext/>
        <w:spacing w:after="60" w:line="240" w:lineRule="auto"/>
      </w:pPr>
      <w:r>
        <w:rPr>
          <w:rFonts w:ascii="Arial" w:hAnsi="Arial"/>
          <w:b/>
          <w:sz w:val="19"/>
        </w:rPr>
        <w:t>Shiva Davoodpour</w:t>
      </w:r>
    </w:p>
    <w:p>
      <w:pPr>
        <w:keepNext/>
        <w:spacing w:after="60" w:line="240" w:lineRule="auto"/>
      </w:pPr>
      <w:r>
        <w:rPr>
          <w:rFonts w:ascii="Arial" w:hAnsi="Arial"/>
          <w:b/>
          <w:sz w:val="19"/>
        </w:rPr>
        <w:t>President</w:t>
      </w:r>
    </w:p>
    <w:p>
      <w:pPr>
        <w:keepNext/>
        <w:spacing w:after="60" w:line="240" w:lineRule="auto"/>
      </w:pPr>
      <w:r>
        <w:rPr>
          <w:rFonts w:ascii="Arial" w:hAnsi="Arial"/>
          <w:b/>
          <w:sz w:val="19"/>
        </w:rPr>
        <w:t>Children of Persia, Inc.</w:t>
      </w:r>
    </w:p>
    <w:p>
      <w:pPr>
        <w:keepNext/>
        <w:spacing w:after="60" w:line="240" w:lineRule="auto"/>
      </w:pPr>
      <w:r>
        <w:rPr>
          <w:rFonts w:ascii="Arial" w:hAnsi="Arial"/>
          <w:b w:val="0"/>
          <w:sz w:val="19"/>
        </w:rPr>
        <w:t>P.O. Box 2602</w:t>
      </w:r>
    </w:p>
    <w:p>
      <w:pPr>
        <w:keepNext/>
        <w:spacing w:after="60" w:line="240" w:lineRule="auto"/>
      </w:pPr>
      <w:r>
        <w:rPr>
          <w:rFonts w:ascii="Arial" w:hAnsi="Arial"/>
          <w:b w:val="0"/>
          <w:sz w:val="19"/>
        </w:rPr>
        <w:t>Montgomery Village, MD 20886</w:t>
      </w:r>
    </w:p>
    <w:p>
      <w:pPr>
        <w:keepNext/>
        <w:spacing w:after="60" w:line="240" w:lineRule="auto"/>
      </w:pPr>
      <w:r>
        <w:rPr>
          <w:rFonts w:ascii="Arial" w:hAnsi="Arial"/>
          <w:b w:val="0"/>
          <w:sz w:val="19"/>
        </w:rPr>
        <w:t>info@childrenofpersia.org</w:t>
      </w:r>
    </w:p>
    <w:p>
      <w:pPr>
        <w:keepNext w:val="0"/>
        <w:spacing w:after="60" w:line="240" w:lineRule="auto"/>
      </w:pPr>
      <w:r>
        <w:rPr>
          <w:rFonts w:ascii="Arial" w:hAnsi="Arial"/>
          <w:b w:val="0"/>
          <w:sz w:val="19"/>
        </w:rPr>
        <w:t>(301) 315-0750</w:t>
      </w:r>
    </w:p>
    <w:sectPr w:rsidR="00FC693F" w:rsidRPr="0006063C" w:rsidSect="00034616">
      <w:pgSz w:w="12240" w:h="15840"/>
      <w:pgMar w:top="648"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